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全国职业院校技能大赛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德育与思想政治教育有关赛项赛场基本条件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1.能提供相对封闭、数量充足、具有全程高清高音质录像功能的比赛室、备赛室，以及候赛场所、专家组和工作人员的办公场所等。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2.能提供交通便利、符合国家规定差旅标准的食宿场所，并保障交通接待。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3.能提供承办大规模的开、闭赛式会场，并满足线上直播要求。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4.能提供承办一定规模相关展示、展览、讲座活动的场所。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5.满足最新版《新型冠状病毒感染防控技术方案》、安全生产等各项要求。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6.有配套经费支持。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mFjOTAyMjU3ZWRkZWUzYWVkNjdlN2IwZTBhMTUifQ=="/>
  </w:docVars>
  <w:rsids>
    <w:rsidRoot w:val="2D922D11"/>
    <w:rsid w:val="2D92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2023-03-27T10:16:00Z</dcterms:created>
  <dc:creator>拾光可乐</dc:creator>
  <cp:lastModifiedBy>拾光可乐</cp:lastModifiedBy>
  <dcterms:modified xsi:type="dcterms:W3CDTF">2023-03-27T10:16:29Z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4AABB368420C47FA98EF93026F75D1E5</vt:lpwstr>
  </property>
</Properties>
</file>